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F7" w:rsidRPr="009C3CF7" w:rsidRDefault="009C3CF7" w:rsidP="009C3C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Приложение N 1</w:t>
      </w:r>
      <w:r w:rsidRPr="009C3CF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к </w:t>
      </w:r>
      <w:hyperlink r:id="rId4" w:anchor="/document/72843778/entry/0" w:history="1">
        <w:r w:rsidRPr="009C3CF7">
          <w:rPr>
            <w:rFonts w:ascii="Times New Roman" w:eastAsia="Times New Roman" w:hAnsi="Times New Roman" w:cs="Times New Roman"/>
            <w:b/>
            <w:bCs/>
            <w:color w:val="3272C0"/>
            <w:sz w:val="26"/>
            <w:szCs w:val="26"/>
            <w:lang w:eastAsia="ru-RU"/>
          </w:rPr>
          <w:t>приказу</w:t>
        </w:r>
      </w:hyperlink>
      <w:r w:rsidRPr="009C3CF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 Министерства образования</w:t>
      </w:r>
      <w:r w:rsidRPr="009C3CF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и науки Ульяновской области</w:t>
      </w:r>
      <w:r w:rsidRPr="009C3CF7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  <w:t>от 3 октября 2019 г. N 20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Положение</w:t>
      </w:r>
      <w:r w:rsidRPr="009C3CF7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br/>
        <w:t>о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и урегулированию конфликта интересов</w:t>
      </w:r>
    </w:p>
    <w:p w:rsidR="009C3CF7" w:rsidRPr="009C3CF7" w:rsidRDefault="009C3CF7" w:rsidP="009C3CF7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9C3CF7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 изменен с 29 января 2021 г. - </w:t>
      </w:r>
      <w:hyperlink r:id="rId5" w:anchor="/document/400250959/entry/7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28 января 2021 г. N 4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 Настоящее Положение определяет порядок формирования и деятельности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(далее - Комиссия), образуемой в соответствии с </w:t>
      </w:r>
      <w:hyperlink r:id="rId6" w:anchor="/document/12164203/entry/0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Федеральным законом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от 25.12.2008 N 273-ФЗ "О противодействии коррупции" (далее - Федеральный закон от 25.12.2008 N 273-ФЗ).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Комиссия в своей деятельности руководствуется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Конституцией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Губернатора Ульяновской области и Правительства Ульяновской области и настоящим Положением.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Основной задачей Комиссии является содействие: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1 изменен с 29 января 2021 г. - </w:t>
      </w:r>
      <w:r w:rsidRPr="009C3CF7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Приказ</w:t>
      </w: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28 января 2021 г. N 4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в обеспечении соблюдения государственными гражданскими служащими Министерства просвещения и воспитания Ульяновской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Федеральным законом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от 25.12.2008 N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2 изменен с 29 января 2021 г. - </w:t>
      </w:r>
      <w:r w:rsidRPr="009C3CF7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Приказ</w:t>
      </w: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28 января 2021 г. N 4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в осуществлении в Министерстве просвещения и воспитания Ульяновской области мер по предупреждению коррупции.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Пункт 4 изменен с 29 января 2021 г. - </w:t>
      </w:r>
      <w:hyperlink r:id="rId7" w:anchor="/document/400250959/entry/9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28 января 2021 г. N 4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Ульяновской области в Министерстве просвещения и воспитания Ульяновской области (далее - Министерство).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6. В состав Комиссии входят: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1 изменен с 29 января 2021 г. - </w:t>
      </w:r>
      <w:r w:rsidRPr="009C3CF7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Приказ</w:t>
      </w: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28 января 2021 г. N 4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заместитель Министра просвещения и воспитания Ульяновской области (председатель Комиссии), начальник отдела правового обеспечения Министерства (секретарь Комиссии), иные гражданские служащие, определяемые Министром просвещения и воспитания Ульяновской области (далее - Министр);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7. Министр может принять решение о включении в состав Комиссии представителя профсоюзной организации, действующей в установленном порядке в Министерстве, а также представителя управления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(далее - Управление).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8. Лица, указанные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подпункте 2 пункта 6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пункте 7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Министерстве, на основании запроса Министра. Согласование осуществляется в десятидневный срок со дня получения запроса.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9. Число членов Комиссии, не замещающих должности государственной гражданской службы Ульяновской области, должно составлять не менее одной четверти от общего числа членов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11. В заседаниях Комиссии с правом совещательного голоса участвуют: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государственной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другие гражданские служащие Министерства;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индивидуально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гражданской службы, недопустимо.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14. Основаниями для проведения заседания Комиссии являются;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представление лицом, принявшим решение о проведении проверки, в соответствии с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пунктом 23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поведению, утверждённого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постановлением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Губернатора Ульяновской области от 17.03.2016 N 27 "О проверке достоверности и полноты сведений, представляемых гражданами, претендующими на замещение должностей государственной 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Ульяновской области требований к служебному поведению" (далее - Положение о проверке сведений), материалов проверки, свидетельствующих: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а) о представлении гражданским служащим недостоверных или неполных сведений, предусмотренных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подпунктом "а" пункта 1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Положения о проверке сведений;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б) 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2 изменен с 18 июля 2020 г. - </w:t>
      </w:r>
      <w:hyperlink r:id="rId8" w:anchor="/document/74428025/entry/11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образования и науки Ульяновской области от 16 июля 2020 г. N 15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поступившее должностному лицу ответственному за работу по профилактике коррупционных и иных правонарушений в Министерстве (далее - должностное лицо) в порядке, установленном нормативным правовым актом Министерства: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а) обращение гражданина, замещавшего в Министерстве должность государственной гражданской службы, включённую в перечень должностей, утверждённый нормативным правовым актом Министерства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обязанности гражданского служащего, до истечения двух лет со дня увольнения с гражданской службы;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б) 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в) заявление гражданского служащего о невозможности выполнить требования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Федерального закона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г)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частью 1 статьи 3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от 03.12.2012 N 230-ФЗ);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5) поступившее в соответствии с </w:t>
      </w:r>
      <w:hyperlink r:id="rId9" w:anchor="/document/12164203/entry/1204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частью 4 статьи 12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25.12.2008 N 273-ФЗ и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статьёй 64.1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16 изменен с 18 июля 2020 г. - </w:t>
      </w:r>
      <w:hyperlink r:id="rId10" w:anchor="/document/74428025/entry/12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образования и науки Ульяновской области от 16 июля 2020 г. N 15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16. Обращение, указанное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подпункте "а" подпункта 2 пункта 14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подаётся гражданином, замещавшим в Министерстве должность государственной гражданской службы, должностному лицу.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статьи 12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25.12.2008 N 273-ФЗ "О противодействии коррупции".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Обращение, указанное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подпункте "а" подпункта 2 пункта 14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17 изменен с 18 июля 2020 г. - </w:t>
      </w:r>
      <w:hyperlink r:id="rId11" w:anchor="/document/74428025/entry/13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образования и науки Ульяновской области от 16 июля 2020 г. N 15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17. Уведомление, указанное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подпункте 5 пункта 14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рассматривается должностным лицом, которое осуществляет подготовку мотивированного заключения о соблюдении гражданином, замещавшим должность государственной гражданской службы в Министерстве, требований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статьи 12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25.12.2008 N 273-ФЗ.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18 изменен с 18 июля 2020 г. - </w:t>
      </w:r>
      <w:r w:rsidRPr="009C3CF7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Приказ</w:t>
      </w: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образования и науки Ульяновской области от 16 июля 2020 г. N 15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18. Уведомление, указанное в </w:t>
      </w:r>
      <w:r w:rsidRPr="009C3CF7">
        <w:rPr>
          <w:rFonts w:ascii="Times New Roman" w:eastAsia="Times New Roman" w:hAnsi="Times New Roman" w:cs="Times New Roman"/>
          <w:color w:val="3272C0"/>
          <w:sz w:val="26"/>
          <w:szCs w:val="26"/>
          <w:lang w:eastAsia="ru-RU"/>
        </w:rPr>
        <w:t>подпункте "г" подпункта 2 пункта 14</w:t>
      </w: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рассматривается должностным лицом, который осуществляет подготовку мотивированного заключения по результатам рассмотрения указанного уведомления.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19 изменен с 19 августа 2022 г. - </w:t>
      </w:r>
      <w:hyperlink r:id="rId12" w:anchor="/document/405167187/entry/1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просвещения и воспитания Ульяновской области от 18 августа 2022 г. N 21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19. При подготовке мотивированного заключения по результатам рассмотрения обращения, указанного в </w:t>
      </w:r>
      <w:hyperlink r:id="rId13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или уведомлений, указанных в </w:t>
      </w:r>
      <w:hyperlink r:id="rId14" w:anchor="/document/72843778/entry/38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"г" подпункта 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15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должностное лицо имеет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в том числе с использованием государственной информационной системы в области противодействия коррупции "Посейдон".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Мотивированные заключения, предусмотренные </w:t>
      </w:r>
      <w:hyperlink r:id="rId16" w:anchor="/document/72843778/entry/4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пунктами 17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17" w:anchor="/document/72843778/entry/47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18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должны содержать: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информацию, изложенную в обращениях или уведомлениях, указанных в </w:t>
      </w:r>
      <w:hyperlink r:id="rId18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подпунктах "а"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19" w:anchor="/document/72843778/entry/38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"г" подпункта 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20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мотивированный вывод по результатам предварительного рассмотрения обращений и уведомлений, указанных в </w:t>
      </w:r>
      <w:hyperlink r:id="rId21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подпунктах "а"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22" w:anchor="/document/72843778/entry/38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"г" подпункта 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23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а также рекомендации для принятия одного из решений в соответствии с </w:t>
      </w:r>
      <w:hyperlink r:id="rId24" w:anchor="/document/72843778/entry/7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пунктами 29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 </w:t>
      </w:r>
      <w:hyperlink r:id="rId25" w:anchor="/document/72843778/entry/8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34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26" w:anchor="/document/72843778/entry/9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36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 или иного решения.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20. Председатель Комиссии при поступлении к нему информации, указанной в </w:t>
      </w:r>
      <w:hyperlink r:id="rId27" w:anchor="/document/72843778/entry/43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пункте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 </w:t>
      </w:r>
      <w:hyperlink r:id="rId28" w:anchor="/document/72843778/entry/5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пунктами 21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29" w:anchor="/document/72843778/entry/57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22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Положения;</w:t>
      </w:r>
    </w:p>
    <w:p w:rsidR="009C3CF7" w:rsidRPr="009C3CF7" w:rsidRDefault="009C3CF7" w:rsidP="009C3CF7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Подпункт 2 изменен с 18 июля 2020 г. - </w:t>
      </w:r>
      <w:hyperlink r:id="rId30" w:anchor="/document/74428025/entry/16" w:history="1">
        <w:r w:rsidRPr="009C3CF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Приказ</w:t>
        </w:r>
      </w:hyperlink>
      <w:r w:rsidRPr="009C3CF7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Министерства образования и науки Ульяновской области от 16 июля 2020 г. N 15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bookmarkStart w:id="0" w:name="_GoBack"/>
      <w:bookmarkEnd w:id="0"/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 с результатами её проверки;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рассматривает ходатайства о приглашении на заседание Комиссии лиц, указанных в </w:t>
      </w:r>
      <w:hyperlink r:id="rId31" w:anchor="/document/72843778/entry/28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2 пункта 11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21. Заседание Комиссии по рассмотрению заявлений, указанных в </w:t>
      </w:r>
      <w:hyperlink r:id="rId32" w:anchor="/document/72843778/entry/3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подпунктах "б"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33" w:anchor="/document/72843778/entry/37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"в"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22. Уведомление, указанное в </w:t>
      </w:r>
      <w:hyperlink r:id="rId34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как правило, рассматривается на очередном (плановом) заседании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 </w:t>
      </w:r>
      <w:hyperlink r:id="rId35" w:anchor="/document/72843778/entry/39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подпунктом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24. Заседания Комиссии могут проводиться в отсутствие гражданского служащего или гражданина в случае: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если в обращении, заявлении или уведомлении, предусмотренных </w:t>
      </w:r>
      <w:hyperlink r:id="rId36" w:anchor="/document/72843778/entry/39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подпунктом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если гражданский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25. На заседании Комиссии заслушиваются пояснения гражданского служащего или гражданина, замещавшего должность государственной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26.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27. По итогам рассмотрения вопроса, указанного в </w:t>
      </w:r>
      <w:hyperlink r:id="rId37" w:anchor="/document/72843778/entry/3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1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установить, что сведения, представленные гражданским служащим в соответствии с </w:t>
      </w:r>
      <w:hyperlink r:id="rId38" w:anchor="/document/15353556/entry/1001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подпунктом "а" пункта 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Положения о проверке сведений, являются достоверными и полными;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установить, что сведения, представленные гражданским служащим в соответствии с </w:t>
      </w:r>
      <w:hyperlink r:id="rId39" w:anchor="/document/15353556/entry/1001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подпунктом "а" пункта 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Положения о проверке сведений,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28. По итогам рассмотрения вопроса, указанного в </w:t>
      </w:r>
      <w:hyperlink r:id="rId40" w:anchor="/document/72843778/entry/33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"б" подпункта 1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29. По итогам рассмотрения вопроса, указанного в </w:t>
      </w:r>
      <w:hyperlink r:id="rId41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30. По итогам рассмотрения вопроса, указанного в </w:t>
      </w:r>
      <w:hyperlink r:id="rId42" w:anchor="/document/72843778/entry/3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"б"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31. По итогам рассмотрения вопроса, указанного в подпункте 4 пункта 14 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признать, что сведения, представленные гражданским служащим в соответствии с </w:t>
      </w:r>
      <w:hyperlink r:id="rId43" w:anchor="/document/70271682/entry/30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частью 1 статьи 3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03.12.2012 N 230-ФЗ, являются достоверными к полными: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2) признать, что сведения, представленные гражданским служащим в соответствии с </w:t>
      </w:r>
      <w:hyperlink r:id="rId44" w:anchor="/document/70271682/entry/30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частью 1 статьи 3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03.12.2012 N 230-ФЗ,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32. По итогам рассмотрения вопроса, предусмотренного </w:t>
      </w:r>
      <w:hyperlink r:id="rId45" w:anchor="/document/72843778/entry/40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подпунктом 3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соответствующее решение.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33. По итогам рассмотрения вопроса, указанного в </w:t>
      </w:r>
      <w:hyperlink r:id="rId46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в отношении гражданина, замещавшего должность государственной гражданской службы в Министерстве,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7" w:anchor="/document/12164203/entry/1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статьи 12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Федерального закона от 25.12.2008 N 273-ФЗ.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34. По итогам рассмотрения вопроса, указанного в </w:t>
      </w:r>
      <w:hyperlink r:id="rId48" w:anchor="/document/72843778/entry/37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"в"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признать, что обстоятельства, препятствующие выполнению требований </w:t>
      </w:r>
      <w:hyperlink r:id="rId49" w:anchor="/document/70372954/entry/0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Федерального закона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07.05.2013 N 79-ФЗ, являются объективными и уважительными;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признать, что обстоятельства, препятствующие выполнению требований </w:t>
      </w:r>
      <w:hyperlink r:id="rId50" w:anchor="/document/70372954/entry/0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Федерального закона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07.05.2013 N 79-ФЗ,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35. По итогам рассмотрения вопроса, указанного в </w:t>
      </w:r>
      <w:hyperlink r:id="rId51" w:anchor="/document/72843778/entry/38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"г"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Комиссия принимает одно из следующих решений: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36. По итогам рассмотрения вопросов, указанных в </w:t>
      </w:r>
      <w:hyperlink r:id="rId52" w:anchor="/document/72843778/entry/34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подпунктах 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 </w:t>
      </w:r>
      <w:hyperlink r:id="rId53" w:anchor="/document/72843778/entry/39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2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 </w:t>
      </w:r>
      <w:hyperlink r:id="rId54" w:anchor="/document/72843778/entry/41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и </w:t>
      </w:r>
      <w:hyperlink r:id="rId55" w:anchor="/document/72843778/entry/42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5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и при наличии к тому оснований Комиссия может принять иное решение, чем это предусмотрено </w:t>
      </w:r>
      <w:hyperlink r:id="rId56" w:anchor="/document/72843778/entry/66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пунктами 27 - 31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 </w:t>
      </w:r>
      <w:hyperlink r:id="rId57" w:anchor="/document/72843778/entry/83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33 - 35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37.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38. Решения Комиссии по вопросам, указанным в </w:t>
      </w:r>
      <w:hyperlink r:id="rId58" w:anchor="/document/72843778/entry/43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пункте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39.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 </w:t>
      </w:r>
      <w:hyperlink r:id="rId59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для Министра носят рекомендательный характер.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Решение, принимаемое по итогам рассмотрения вопроса, указанного в </w:t>
      </w:r>
      <w:hyperlink r:id="rId60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носит обязательный характер.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40. В протоколе заседания Комиссии указываются: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3) предъявляемые к гражданскому служащему претензии и материалы, на которых основываются указанные претензии;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5) фамилии, имена, отчества выступивших на заседании Комиссии лиц и краткое изложение их выступлений;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7) другие сведения;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8) результаты голосования;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9) решение и обоснование его принятия.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41. Член Комиссии, не согласный с решением Комиссии, вправе в письменной форме изложить своё мнение, с которым должен быть ознакомлен гражданский служащий и которое подлежит обязательному приобщению к протоколу заседания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42. Копия протокола заседания Комиссии в семидневный срок со дня заседания направляется Министру и в Управление, полностью или в виде выписок из него - гражданскому служащему, а также по решению Комиссии - иным заинтересованным лицам,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43. Министр вправе учесть содержащиеся в протоколе заседания Комиссии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 и Ульяновской области,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44.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45.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трёхдневный срок, а при необходимости - немедленно.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46.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>47. Выписка из решения Комиссии, заверенная подписью секретаря Комиссии и печатью Министерства, вручается гражданину, замещавшему должность государственной гражданской службы в Министерстве, в отношении которого рассматривался вопрос, указанный в </w:t>
      </w:r>
      <w:hyperlink r:id="rId61" w:anchor="/document/72843778/entry/35" w:history="1">
        <w:r w:rsidRPr="009C3CF7">
          <w:rPr>
            <w:rFonts w:ascii="Times New Roman" w:eastAsia="Times New Roman" w:hAnsi="Times New Roman" w:cs="Times New Roman"/>
            <w:color w:val="3272C0"/>
            <w:sz w:val="26"/>
            <w:szCs w:val="26"/>
            <w:lang w:eastAsia="ru-RU"/>
          </w:rPr>
          <w:t>подпункте "а" подпункта 2 пункта 14</w:t>
        </w:r>
      </w:hyperlink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9C3CF7" w:rsidRPr="009C3CF7" w:rsidRDefault="009C3CF7" w:rsidP="009C3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9C3CF7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дня обсуждения на заседании Комиссии, осуществляются отделом правового обеспечения Министерства.</w:t>
      </w:r>
    </w:p>
    <w:p w:rsidR="00114264" w:rsidRDefault="009C3CF7"/>
    <w:sectPr w:rsidR="001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3B"/>
    <w:rsid w:val="007A2FC1"/>
    <w:rsid w:val="008B7B43"/>
    <w:rsid w:val="008F233B"/>
    <w:rsid w:val="009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13E0-DC04-4754-92B4-2A68D4FA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3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3C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3CF7"/>
  </w:style>
  <w:style w:type="character" w:styleId="a3">
    <w:name w:val="Hyperlink"/>
    <w:basedOn w:val="a0"/>
    <w:uiPriority w:val="99"/>
    <w:semiHidden/>
    <w:unhideWhenUsed/>
    <w:rsid w:val="009C3CF7"/>
    <w:rPr>
      <w:color w:val="0000FF"/>
      <w:u w:val="single"/>
    </w:rPr>
  </w:style>
  <w:style w:type="paragraph" w:customStyle="1" w:styleId="s3">
    <w:name w:val="s_3"/>
    <w:basedOn w:val="a"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0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8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5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891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0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96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65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62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23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910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5359</Words>
  <Characters>30548</Characters>
  <Application>Microsoft Office Word</Application>
  <DocSecurity>0</DocSecurity>
  <Lines>254</Lines>
  <Paragraphs>71</Paragraphs>
  <ScaleCrop>false</ScaleCrop>
  <Company/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Альфия Назырова</cp:lastModifiedBy>
  <cp:revision>2</cp:revision>
  <dcterms:created xsi:type="dcterms:W3CDTF">2023-04-14T13:22:00Z</dcterms:created>
  <dcterms:modified xsi:type="dcterms:W3CDTF">2023-04-14T13:25:00Z</dcterms:modified>
</cp:coreProperties>
</file>