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59" w:rsidRPr="00597B04" w:rsidRDefault="00791159" w:rsidP="00837616">
      <w:pPr>
        <w:ind w:right="-1"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597B04">
        <w:rPr>
          <w:rFonts w:ascii="PT Astra Serif" w:hAnsi="PT Astra Serif" w:cs="Times New Roman"/>
          <w:b/>
          <w:sz w:val="24"/>
          <w:szCs w:val="24"/>
        </w:rPr>
        <w:t xml:space="preserve">Объявление о приёме документов для </w:t>
      </w:r>
      <w:r w:rsidR="00EE0BA2" w:rsidRPr="00597B04">
        <w:rPr>
          <w:rFonts w:ascii="PT Astra Serif" w:hAnsi="PT Astra Serif" w:cs="Times New Roman"/>
          <w:b/>
          <w:sz w:val="24"/>
          <w:szCs w:val="24"/>
        </w:rPr>
        <w:t xml:space="preserve">участия в конкурсе </w:t>
      </w:r>
      <w:r w:rsidR="00C702D4">
        <w:rPr>
          <w:rFonts w:ascii="PT Astra Serif" w:hAnsi="PT Astra Serif" w:cs="Times New Roman"/>
          <w:b/>
          <w:sz w:val="24"/>
          <w:szCs w:val="24"/>
        </w:rPr>
        <w:t>на замещение вакантных должностей государственной гражданской службы</w:t>
      </w:r>
      <w:r w:rsidR="00EE0BA2" w:rsidRPr="00597B0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753D49" w:rsidRPr="00597B04">
        <w:rPr>
          <w:rFonts w:ascii="PT Astra Serif" w:hAnsi="PT Astra Serif" w:cs="Times New Roman"/>
          <w:b/>
          <w:sz w:val="24"/>
          <w:szCs w:val="24"/>
        </w:rPr>
        <w:t xml:space="preserve">Министерства </w:t>
      </w:r>
      <w:r w:rsidR="00062587" w:rsidRPr="00597B04">
        <w:rPr>
          <w:rFonts w:ascii="PT Astra Serif" w:hAnsi="PT Astra Serif" w:cs="Times New Roman"/>
          <w:b/>
          <w:sz w:val="24"/>
          <w:szCs w:val="24"/>
        </w:rPr>
        <w:t>просвещения и воспитания</w:t>
      </w:r>
      <w:r w:rsidRPr="00597B04">
        <w:rPr>
          <w:rFonts w:ascii="PT Astra Serif" w:hAnsi="PT Astra Serif" w:cs="Times New Roman"/>
          <w:b/>
          <w:sz w:val="24"/>
          <w:szCs w:val="24"/>
        </w:rPr>
        <w:t xml:space="preserve"> Ульяновской области</w:t>
      </w:r>
    </w:p>
    <w:tbl>
      <w:tblPr>
        <w:tblpPr w:leftFromText="180" w:rightFromText="180" w:vertAnchor="text" w:tblpY="1"/>
        <w:tblOverlap w:val="never"/>
        <w:tblW w:w="967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841"/>
      </w:tblGrid>
      <w:tr w:rsidR="00791159" w:rsidRPr="00597B04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597B04" w:rsidRDefault="00791159" w:rsidP="00597B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97B0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</w:t>
            </w:r>
            <w:r w:rsidRPr="00597B0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597B0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597B04" w:rsidRDefault="00791159" w:rsidP="00597B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97B0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2A26E8" w:rsidRPr="00597B04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0F6" w:rsidRPr="006510F6" w:rsidRDefault="006510F6" w:rsidP="006510F6">
            <w:pPr>
              <w:shd w:val="clear" w:color="auto" w:fill="FFFFFF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bookmarkStart w:id="0" w:name="_GoBack"/>
            <w:r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Г</w:t>
            </w:r>
            <w:r w:rsidRPr="006510F6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лавн</w:t>
            </w:r>
            <w:r w:rsidRPr="006510F6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ый</w:t>
            </w:r>
            <w:r w:rsidRPr="006510F6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 специалист-эксперт департамента профессионального </w:t>
            </w:r>
            <w:r w:rsidRPr="006510F6">
              <w:rPr>
                <w:rFonts w:ascii="PT Astra Serif" w:hAnsi="PT Astra Serif"/>
                <w:bCs/>
                <w:sz w:val="24"/>
                <w:szCs w:val="24"/>
              </w:rPr>
              <w:t xml:space="preserve">образования и науки </w:t>
            </w:r>
            <w:r w:rsidRPr="006510F6">
              <w:rPr>
                <w:rFonts w:ascii="PT Astra Serif" w:hAnsi="PT Astra Serif"/>
                <w:bCs/>
                <w:spacing w:val="-2"/>
                <w:sz w:val="24"/>
                <w:szCs w:val="24"/>
              </w:rPr>
              <w:t xml:space="preserve">Министерства просвещения </w:t>
            </w:r>
            <w:r w:rsidRPr="006510F6">
              <w:rPr>
                <w:rFonts w:ascii="PT Astra Serif" w:hAnsi="PT Astra Serif"/>
                <w:bCs/>
                <w:spacing w:val="-2"/>
                <w:sz w:val="24"/>
                <w:szCs w:val="24"/>
              </w:rPr>
              <w:br/>
              <w:t>и воспитания Ульяновской области</w:t>
            </w:r>
          </w:p>
          <w:bookmarkEnd w:id="0"/>
          <w:p w:rsidR="002A26E8" w:rsidRPr="00F0733B" w:rsidRDefault="002A26E8" w:rsidP="002A26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6E8" w:rsidRPr="00F0733B" w:rsidRDefault="002A26E8" w:rsidP="002A26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2A26E8" w:rsidRPr="00F0733B" w:rsidRDefault="002A26E8" w:rsidP="002A26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2A26E8" w:rsidRPr="00F0733B" w:rsidRDefault="002A26E8" w:rsidP="002A26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2A26E8" w:rsidRPr="00F0733B" w:rsidRDefault="002A26E8" w:rsidP="002A26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2A26E8" w:rsidRPr="00F0733B" w:rsidRDefault="002A26E8" w:rsidP="002A26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>Наличие высшего образования, без предъявления требований к стажу.</w:t>
            </w:r>
          </w:p>
          <w:p w:rsidR="002A26E8" w:rsidRPr="00F0733B" w:rsidRDefault="002A26E8" w:rsidP="002A26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</w:p>
          <w:p w:rsidR="002A26E8" w:rsidRPr="00F0733B" w:rsidRDefault="002A26E8" w:rsidP="002A26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>Наличие базовых знаний</w:t>
            </w:r>
            <w:r w:rsidRPr="00F07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государственного языка Российской Федерации (русского языка); основ </w:t>
            </w:r>
            <w:r w:rsidRPr="00F0733B">
              <w:rPr>
                <w:rFonts w:ascii="PT Astra Serif" w:hAnsi="PT Astra Serif"/>
                <w:sz w:val="24"/>
                <w:szCs w:val="24"/>
              </w:rPr>
              <w:t>Конституции Российской Федерации, законодательства о гражданской службе, законодательства о противодействии коррупции; в области информационно-коммуникационных технологий.</w:t>
            </w:r>
          </w:p>
          <w:p w:rsidR="002A26E8" w:rsidRPr="00F0733B" w:rsidRDefault="002A26E8" w:rsidP="002A26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2A26E8" w:rsidRPr="00F0733B" w:rsidRDefault="002A26E8" w:rsidP="002A26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базовых умений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в области информационно-коммуникационных технологий; 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F0733B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F0733B">
              <w:rPr>
                <w:rFonts w:ascii="PT Astra Serif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2A26E8" w:rsidRPr="00F0733B" w:rsidRDefault="002A26E8" w:rsidP="002A26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2A26E8" w:rsidRPr="00F0733B" w:rsidRDefault="002A26E8" w:rsidP="002A26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профессиональных знаний в сфере законодательства: </w:t>
            </w:r>
            <w:r w:rsidRPr="00F0733B">
              <w:rPr>
                <w:rStyle w:val="ad"/>
                <w:rFonts w:ascii="PT Astra Serif" w:hAnsi="PT Astra Serif" w:cs="Arial"/>
                <w:b w:val="0"/>
                <w:sz w:val="24"/>
                <w:szCs w:val="24"/>
                <w:shd w:val="clear" w:color="auto" w:fill="FFFFFF"/>
              </w:rPr>
              <w:t>Федеральный закон "Об образовании в Российской Федерации" № 273-ФЗ от 29 декабря 2012 года</w:t>
            </w:r>
            <w:r w:rsidRPr="00F0733B">
              <w:rPr>
                <w:rFonts w:ascii="PT Astra Serif" w:hAnsi="PT Astra Serif" w:cs="Helvetica"/>
                <w:b/>
                <w:sz w:val="24"/>
                <w:szCs w:val="24"/>
                <w:bdr w:val="none" w:sz="0" w:space="0" w:color="auto" w:frame="1"/>
              </w:rPr>
              <w:t xml:space="preserve">;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Федеральные государственные образовательные стандарты среднего профессионального образования по профессиям и специальностям, утвержденные приказами </w:t>
            </w:r>
            <w:proofErr w:type="spellStart"/>
            <w:r w:rsidRPr="00F0733B">
              <w:rPr>
                <w:rFonts w:ascii="PT Astra Serif" w:hAnsi="PT Astra Serif"/>
                <w:sz w:val="24"/>
                <w:szCs w:val="24"/>
              </w:rPr>
              <w:t>Минобрнауки</w:t>
            </w:r>
            <w:proofErr w:type="spellEnd"/>
            <w:r w:rsidRPr="00F0733B">
              <w:rPr>
                <w:rFonts w:ascii="PT Astra Serif" w:hAnsi="PT Astra Serif"/>
                <w:sz w:val="24"/>
                <w:szCs w:val="24"/>
              </w:rPr>
              <w:t xml:space="preserve"> России; Приказ </w:t>
            </w:r>
            <w:proofErr w:type="spellStart"/>
            <w:r w:rsidRPr="00F0733B">
              <w:rPr>
                <w:rFonts w:ascii="PT Astra Serif" w:hAnsi="PT Astra Serif"/>
                <w:sz w:val="24"/>
                <w:szCs w:val="24"/>
              </w:rPr>
              <w:t>Минобрнауки</w:t>
            </w:r>
            <w:proofErr w:type="spellEnd"/>
            <w:r w:rsidRPr="00F0733B">
              <w:rPr>
                <w:rFonts w:ascii="PT Astra Serif" w:hAnsi="PT Astra Serif"/>
                <w:sz w:val="24"/>
                <w:szCs w:val="24"/>
              </w:rPr>
              <w:t xml:space="preserve"> России № 464 от 14 июня 2013 года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изм., вносимыми приказами № 31 и № 1580); Постановления Правительства Российской Федерации, Устав Ульяновской области, законы Ульяновской области, договоры и соглашения Ульяновской области, иные нормативные правовые акты Ульяновской области, регулирующие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2A26E8" w:rsidRPr="00F0733B" w:rsidRDefault="002A26E8" w:rsidP="002A26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Наличие функциональных знаний: понятия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образовательных программам среднего профессионального образования и </w:t>
            </w:r>
            <w:r w:rsidRPr="00F0733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профессионального обучения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r w:rsidRPr="00F0733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программы подготовки квалифицированных рабочих, служащих, программы подготовки специалистов среднего звена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F0733B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служащих; </w:t>
            </w: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>порядка приёма на обучение в образовательные организации среднего профессионального образования; порядка перевода из одного образовательного учреждения среднего профессионального образования в другое.</w:t>
            </w:r>
          </w:p>
          <w:p w:rsidR="002A26E8" w:rsidRPr="00F0733B" w:rsidRDefault="002A26E8" w:rsidP="002A26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2A26E8" w:rsidRPr="00F0733B" w:rsidRDefault="002A26E8" w:rsidP="002A26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функциональных умений: разработки, рассмотрения и согласования проектов нормативных правовых актов и других документов; подготовки методических рекомендаций, разъяснений; подготовки аналитических, информационных и других материалов; </w:t>
            </w:r>
            <w:proofErr w:type="spellStart"/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>частие</w:t>
            </w:r>
            <w:proofErr w:type="spellEnd"/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 проведении мониторингов в области среднего профессионального образования.</w:t>
            </w:r>
          </w:p>
          <w:p w:rsidR="002A26E8" w:rsidRPr="00F0733B" w:rsidRDefault="002A26E8" w:rsidP="002A26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2A26E8" w:rsidRDefault="002A26E8" w:rsidP="002A26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733B">
              <w:rPr>
                <w:rFonts w:ascii="PT Astra Serif" w:hAnsi="PT Astra Serif" w:cs="Times New Roman"/>
                <w:sz w:val="24"/>
                <w:szCs w:val="24"/>
              </w:rPr>
              <w:t>6.Должностные обязанности: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 организует и обеспечивает исполнение поручений, полученных от директора департамента; участвует в подготовке проектов законов, нормативных правовых актов Губернатора и Правительства Ульяновской области и других документов по вопросам, входящим в компетенцию департамента; участвует в экспертизе законов и иных нормативных правовых актов Ульяновской области и Министерства, регулирующих правоотношения в области среднего профессионального образования; организует подготовку проектов приказов Министерства по вопросам, входящим в компетенцию департамента; осуществляет подготовку и представление информационно-аналитических материалов в сфере профессионального образования; участвует в организации мероприятий, направленных на обеспечение развития среднего профессионального образования; осуществляет организационное обеспечение проведения мероприятий в сфере профессионального образования, а также других мероприятий по поддержке студентов и сотрудников образовательных организаций среднего профессионального образования, расположенных на территории Ульяновской области; организует сбор и анализ информации о взаимодействии органов государственной власти области, органов местного самоуправления области, профессиональных образовательных организаций, находящихся на территории Ульяновской области; участвует в организации семинаров, конференций в сфере профессионального образования в регионе; взаимодействует с профессиональными образовательными организациями, органами государственной власти, органами местного самоуправления муниципальных районов и городских округов по вопросам профессионального образования; организует работу по подготовке информационных материалов по вопросам, входящим в компетенцию департамента, для размещения в </w:t>
            </w:r>
            <w:r w:rsidRPr="00F0733B">
              <w:rPr>
                <w:rFonts w:ascii="PT Astra Serif" w:hAnsi="PT Astra Serif"/>
                <w:sz w:val="24"/>
                <w:szCs w:val="24"/>
              </w:rPr>
              <w:lastRenderedPageBreak/>
              <w:t>средствах массовой информации;  взаимодействует с профессиональными образовательными организациями, органами государственной власти, органами местного самоуправления области по вопросам организации профессионального образования; взаимодействует со «Службой семейных консультантов» Министерства семейной, демографической политики и социального благополучия в Ульяновской области» по подбору молодых специалистов – выпускников вузов в службу назначения; рассматривает обращения граждан, по вопросам, отнесённым к компетенции департамента; обеспечивает сохранность документов, образующихся в процессе деятельности департамента, сохранение конфиденциальности служебной информации;</w:t>
            </w:r>
            <w:r w:rsidRPr="00F0733B">
              <w:rPr>
                <w:rFonts w:ascii="PT Astra Serif" w:hAnsi="PT Astra Serif"/>
                <w:bCs/>
                <w:sz w:val="24"/>
                <w:szCs w:val="24"/>
              </w:rPr>
              <w:t xml:space="preserve"> соблюдать нормы </w:t>
            </w: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>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разговоров.</w:t>
            </w:r>
          </w:p>
          <w:p w:rsidR="002A26E8" w:rsidRPr="00F0733B" w:rsidRDefault="002A26E8" w:rsidP="002A26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2A26E8" w:rsidRPr="00F0733B" w:rsidRDefault="002A26E8" w:rsidP="002A26E8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733B">
              <w:rPr>
                <w:rFonts w:ascii="PT Astra Serif" w:hAnsi="PT Astra Serif"/>
                <w:bCs/>
                <w:sz w:val="24"/>
                <w:szCs w:val="24"/>
              </w:rPr>
              <w:t xml:space="preserve">7. </w:t>
            </w:r>
            <w:r w:rsidRPr="00F0733B">
              <w:rPr>
                <w:rFonts w:ascii="PT Astra Serif" w:hAnsi="PT Astra Serif"/>
                <w:sz w:val="24"/>
                <w:szCs w:val="24"/>
              </w:rPr>
              <w:t xml:space="preserve">Эффективность и результативность профессиональной служебной деятельности оцениваются по следующим показателям: выполняемый объём работы и интенсивность труда; своевременность выполнения поручений и рассмотрения обращений граждан и организаций; 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 и грамматических ошибок); 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 способность чётко организовывать и планировать выполнение порученных заданий, умение рационально использовать рабочее время, расставлять приоритеты; </w:t>
            </w:r>
            <w:r w:rsidRPr="00F0733B">
              <w:rPr>
                <w:rFonts w:ascii="PT Astra Serif" w:hAnsi="PT Astra Serif"/>
                <w:color w:val="000000"/>
                <w:sz w:val="24"/>
                <w:szCs w:val="24"/>
              </w:rPr>
              <w:t>уровень самостоятельности в принятии решений, входящих в компетенцию главного специалиста-эксперта.</w:t>
            </w:r>
          </w:p>
          <w:p w:rsidR="002A26E8" w:rsidRPr="00F0733B" w:rsidRDefault="002A26E8" w:rsidP="002A26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733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18662,80 </w:t>
            </w:r>
            <w:proofErr w:type="spellStart"/>
            <w:r w:rsidRPr="00F0733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F0733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/мес. </w:t>
            </w:r>
          </w:p>
        </w:tc>
      </w:tr>
    </w:tbl>
    <w:p w:rsidR="00EF50D2" w:rsidRPr="00597B04" w:rsidRDefault="00EF50D2" w:rsidP="004F683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34365" w:rsidRPr="00597B04" w:rsidRDefault="00B34365" w:rsidP="00B34365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65C67" w:rsidRPr="00597B04" w:rsidRDefault="00265C67" w:rsidP="00265C67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службы–09.00, окончания службы –18.00. Перерыв для отдыха и питания с 13.00–до 14.00.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Место и порядок проведения конкурса: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проводится по адресу: г. Ульяновск, Соборная Площадь, д. 1. 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6" w:history="1">
        <w:r w:rsidRPr="00597B04">
          <w:rPr>
            <w:rStyle w:val="a4"/>
            <w:rFonts w:ascii="PT Astra Serif" w:hAnsi="PT Astra Serif"/>
            <w:sz w:val="24"/>
            <w:szCs w:val="24"/>
          </w:rPr>
          <w:t>https://gossluzhba.gov.ru/professional-education</w:t>
        </w:r>
      </w:hyperlink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597B04">
        <w:rPr>
          <w:rFonts w:ascii="PT Astra Serif" w:hAnsi="PT Astra Serif" w:cs="Times New Roman"/>
          <w:sz w:val="24"/>
          <w:szCs w:val="24"/>
          <w:shd w:val="clear" w:color="auto" w:fill="FFFFFF"/>
        </w:rPr>
        <w:t>4) Ситуационное-интервью,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265C67" w:rsidRPr="00597B04" w:rsidRDefault="00265C67" w:rsidP="00265C67">
      <w:pPr>
        <w:pStyle w:val="ac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597B04">
        <w:rPr>
          <w:rStyle w:val="ad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265C67" w:rsidRPr="00597B04" w:rsidRDefault="00265C67" w:rsidP="00265C67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597B04">
        <w:rPr>
          <w:rFonts w:ascii="PT Astra Serif" w:hAnsi="PT Astra Serif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265C67" w:rsidRPr="00597B04" w:rsidRDefault="00265C67" w:rsidP="00265C67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597B04">
        <w:rPr>
          <w:rFonts w:ascii="PT Astra Serif" w:hAnsi="PT Astra Serif"/>
        </w:rPr>
        <w:t>- ситуационное интервью (максимальный балл – 4 балла);</w:t>
      </w:r>
    </w:p>
    <w:p w:rsidR="00265C67" w:rsidRPr="00597B04" w:rsidRDefault="00265C67" w:rsidP="00265C67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597B04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265C67" w:rsidRPr="00597B04" w:rsidRDefault="00265C67" w:rsidP="00265C67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597B04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265C67" w:rsidRPr="00597B04" w:rsidRDefault="00265C67" w:rsidP="00265C67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597B04">
        <w:rPr>
          <w:rFonts w:ascii="PT Astra Serif" w:hAnsi="PT Astra Serif"/>
        </w:rPr>
        <w:lastRenderedPageBreak/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265C67" w:rsidRPr="00597B04" w:rsidRDefault="00265C67" w:rsidP="00265C67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597B04">
        <w:rPr>
          <w:rFonts w:ascii="PT Astra Serif" w:hAnsi="PT Astra Serif"/>
        </w:rPr>
        <w:t>Рейтинг кандидатов формируется в зависимости от набранных ими итоговых баллов в порядке убывания.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1. личное заявление;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N 001-ГС/у);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8.копия ИНН;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597B04">
        <w:rPr>
          <w:rFonts w:ascii="PT Astra Serif" w:hAnsi="PT Astra Serif" w:cs="Times New Roman"/>
          <w:sz w:val="24"/>
          <w:szCs w:val="24"/>
        </w:rPr>
        <w:t>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hAnsi="PT Astra Serif" w:cs="Times New Roman"/>
          <w:sz w:val="24"/>
          <w:szCs w:val="24"/>
        </w:rPr>
        <w:lastRenderedPageBreak/>
        <w:t>10.</w:t>
      </w:r>
      <w:r w:rsidRPr="00597B04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на компьютер программное обеспечение «Справка БК» с сайта «http://anticorrupt.ulgov.ru»).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11. Согласие на обработку персональных данных.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931B43" w:rsidRPr="00597B04" w:rsidRDefault="00931B43" w:rsidP="00931B43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 </w:t>
      </w: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597B0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6510F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21</w:t>
      </w:r>
      <w:r w:rsidRPr="00597B0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062587" w:rsidRPr="00597B0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12</w:t>
      </w:r>
      <w:r w:rsidRPr="00597B0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.2020) </w:t>
      </w: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432063, г. Ульяновск, Площадь Соборная, д.1, </w:t>
      </w:r>
      <w:proofErr w:type="spellStart"/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110, ежедневно, кроме выходных (субботы, воскресенья) и праздничных дней, с 11.00 до 13.00. </w:t>
      </w:r>
      <w:r w:rsidRPr="00597B04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дата проведения 2 этапа конкурса – </w:t>
      </w:r>
      <w:r w:rsidR="00062587"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6510F6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062587"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01</w:t>
      </w: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062587"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062587"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13</w:t>
      </w: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062587"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01</w:t>
      </w: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062587"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65C67" w:rsidRPr="00597B04" w:rsidRDefault="00265C67" w:rsidP="00265C67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265C67" w:rsidRPr="00597B04" w:rsidRDefault="00265C67" w:rsidP="00265C67">
      <w:pPr>
        <w:pStyle w:val="ab"/>
        <w:jc w:val="both"/>
        <w:rPr>
          <w:rFonts w:ascii="PT Astra Serif" w:hAnsi="PT Astra Serif" w:cs="Times New Roman"/>
          <w:sz w:val="24"/>
          <w:szCs w:val="24"/>
        </w:rPr>
      </w:pPr>
      <w:r w:rsidRPr="00597B04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Pr="00597B04">
        <w:rPr>
          <w:rFonts w:ascii="PT Astra Serif" w:hAnsi="PT Astra Serif" w:cs="Times New Roman"/>
          <w:sz w:val="24"/>
          <w:szCs w:val="24"/>
        </w:rPr>
        <w:t>http://www.kadr.ulgov.ru/uprkadrrezerv/28/184.html).</w:t>
      </w:r>
    </w:p>
    <w:p w:rsidR="00265C67" w:rsidRPr="00597B04" w:rsidRDefault="00265C67" w:rsidP="00265C67">
      <w:pPr>
        <w:pStyle w:val="ab"/>
        <w:jc w:val="both"/>
        <w:rPr>
          <w:rFonts w:ascii="PT Astra Serif" w:hAnsi="PT Astra Serif" w:cs="Times New Roman"/>
          <w:color w:val="0070C0"/>
          <w:sz w:val="24"/>
          <w:szCs w:val="24"/>
          <w:shd w:val="clear" w:color="auto" w:fill="FFFFFF"/>
        </w:rPr>
      </w:pPr>
    </w:p>
    <w:p w:rsidR="00265C67" w:rsidRPr="00597B04" w:rsidRDefault="00265C67" w:rsidP="00265C67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597B04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65C67" w:rsidRPr="00597B04" w:rsidRDefault="00265C67" w:rsidP="00265C67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265C67" w:rsidRPr="00597B04" w:rsidRDefault="00265C67" w:rsidP="00265C6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резервируемой группы должностей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265C67" w:rsidRPr="00597B04" w:rsidRDefault="00265C67" w:rsidP="00265C67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Более подробную информацию можно получить по телефону: (8422), 58-92-31, 58-92-27, (с 11</w:t>
      </w:r>
      <w:r w:rsidRPr="00597B0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597B0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597B04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www.kadr.ulgov.ru.</w:t>
      </w:r>
    </w:p>
    <w:p w:rsidR="00265C67" w:rsidRPr="00597B04" w:rsidRDefault="00265C67" w:rsidP="00265C67">
      <w:pPr>
        <w:rPr>
          <w:rFonts w:ascii="PT Astra Serif" w:hAnsi="PT Astra Serif"/>
          <w:sz w:val="24"/>
          <w:szCs w:val="24"/>
        </w:rPr>
      </w:pPr>
    </w:p>
    <w:p w:rsidR="0034123C" w:rsidRPr="00597B04" w:rsidRDefault="0034123C" w:rsidP="0034123C">
      <w:pPr>
        <w:rPr>
          <w:rFonts w:ascii="PT Astra Serif" w:hAnsi="PT Astra Serif"/>
          <w:sz w:val="24"/>
          <w:szCs w:val="24"/>
        </w:rPr>
      </w:pPr>
    </w:p>
    <w:sectPr w:rsidR="0034123C" w:rsidRPr="0059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0AAC9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764EE"/>
    <w:multiLevelType w:val="hybridMultilevel"/>
    <w:tmpl w:val="85FA56D4"/>
    <w:lvl w:ilvl="0" w:tplc="7A5A663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1D6235"/>
    <w:multiLevelType w:val="hybridMultilevel"/>
    <w:tmpl w:val="3E6C08B4"/>
    <w:lvl w:ilvl="0" w:tplc="B69648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CC394A"/>
    <w:multiLevelType w:val="hybridMultilevel"/>
    <w:tmpl w:val="04125EFA"/>
    <w:lvl w:ilvl="0" w:tplc="7A5A6630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2A70BB"/>
    <w:multiLevelType w:val="multilevel"/>
    <w:tmpl w:val="A2820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DA51A1"/>
    <w:multiLevelType w:val="hybridMultilevel"/>
    <w:tmpl w:val="E850ED0C"/>
    <w:lvl w:ilvl="0" w:tplc="B69648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316D0E"/>
    <w:multiLevelType w:val="multilevel"/>
    <w:tmpl w:val="AD7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98210DE"/>
    <w:multiLevelType w:val="hybridMultilevel"/>
    <w:tmpl w:val="86362EA0"/>
    <w:lvl w:ilvl="0" w:tplc="7A5A6630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4D19C0"/>
    <w:multiLevelType w:val="multilevel"/>
    <w:tmpl w:val="11741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032765"/>
    <w:multiLevelType w:val="hybridMultilevel"/>
    <w:tmpl w:val="21F62A42"/>
    <w:lvl w:ilvl="0" w:tplc="7A5A663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C90F14"/>
    <w:multiLevelType w:val="hybridMultilevel"/>
    <w:tmpl w:val="61E6103A"/>
    <w:lvl w:ilvl="0" w:tplc="7CFE7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123073"/>
    <w:multiLevelType w:val="hybridMultilevel"/>
    <w:tmpl w:val="22766272"/>
    <w:lvl w:ilvl="0" w:tplc="1C52D7F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8783094"/>
    <w:multiLevelType w:val="hybridMultilevel"/>
    <w:tmpl w:val="B4B64A48"/>
    <w:lvl w:ilvl="0" w:tplc="7CFE7A7A">
      <w:start w:val="1"/>
      <w:numFmt w:val="bullet"/>
      <w:lvlText w:val=""/>
      <w:lvlJc w:val="left"/>
      <w:pPr>
        <w:tabs>
          <w:tab w:val="num" w:pos="794"/>
        </w:tabs>
        <w:ind w:left="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1536BC"/>
    <w:multiLevelType w:val="hybridMultilevel"/>
    <w:tmpl w:val="420E817C"/>
    <w:lvl w:ilvl="0" w:tplc="B69648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1A4016"/>
    <w:multiLevelType w:val="hybridMultilevel"/>
    <w:tmpl w:val="BA6EA57A"/>
    <w:lvl w:ilvl="0" w:tplc="7CFE7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56DD5"/>
    <w:multiLevelType w:val="hybridMultilevel"/>
    <w:tmpl w:val="ABDC8354"/>
    <w:lvl w:ilvl="0" w:tplc="B72469D6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DE2AC5"/>
    <w:multiLevelType w:val="multilevel"/>
    <w:tmpl w:val="26AC01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 w15:restartNumberingAfterBreak="0">
    <w:nsid w:val="657B741D"/>
    <w:multiLevelType w:val="hybridMultilevel"/>
    <w:tmpl w:val="9B521E46"/>
    <w:lvl w:ilvl="0" w:tplc="7A5A6630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8EF59CF"/>
    <w:multiLevelType w:val="hybridMultilevel"/>
    <w:tmpl w:val="CA744976"/>
    <w:lvl w:ilvl="0" w:tplc="7A5A6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B8684E"/>
    <w:multiLevelType w:val="hybridMultilevel"/>
    <w:tmpl w:val="836683EA"/>
    <w:lvl w:ilvl="0" w:tplc="1C52D7F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AB5CA0"/>
    <w:multiLevelType w:val="hybridMultilevel"/>
    <w:tmpl w:val="4F863B2E"/>
    <w:lvl w:ilvl="0" w:tplc="B69648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B557C8"/>
    <w:multiLevelType w:val="hybridMultilevel"/>
    <w:tmpl w:val="993E8018"/>
    <w:lvl w:ilvl="0" w:tplc="7CFE7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20"/>
  </w:num>
  <w:num w:numId="5">
    <w:abstractNumId w:val="2"/>
  </w:num>
  <w:num w:numId="6">
    <w:abstractNumId w:val="15"/>
  </w:num>
  <w:num w:numId="7">
    <w:abstractNumId w:val="13"/>
  </w:num>
  <w:num w:numId="8">
    <w:abstractNumId w:val="18"/>
  </w:num>
  <w:num w:numId="9">
    <w:abstractNumId w:val="7"/>
  </w:num>
  <w:num w:numId="10">
    <w:abstractNumId w:val="5"/>
  </w:num>
  <w:num w:numId="11">
    <w:abstractNumId w:val="21"/>
  </w:num>
  <w:num w:numId="12">
    <w:abstractNumId w:val="9"/>
  </w:num>
  <w:num w:numId="13">
    <w:abstractNumId w:val="19"/>
  </w:num>
  <w:num w:numId="14">
    <w:abstractNumId w:val="3"/>
  </w:num>
  <w:num w:numId="15">
    <w:abstractNumId w:val="1"/>
  </w:num>
  <w:num w:numId="16">
    <w:abstractNumId w:val="16"/>
  </w:num>
  <w:num w:numId="17">
    <w:abstractNumId w:val="4"/>
  </w:num>
  <w:num w:numId="18">
    <w:abstractNumId w:val="8"/>
  </w:num>
  <w:num w:numId="19">
    <w:abstractNumId w:val="0"/>
  </w:num>
  <w:num w:numId="20">
    <w:abstractNumId w:val="12"/>
  </w:num>
  <w:num w:numId="21">
    <w:abstractNumId w:val="22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9"/>
    <w:rsid w:val="00015BB2"/>
    <w:rsid w:val="0004080A"/>
    <w:rsid w:val="00061765"/>
    <w:rsid w:val="00062587"/>
    <w:rsid w:val="000701CB"/>
    <w:rsid w:val="00086A58"/>
    <w:rsid w:val="00096943"/>
    <w:rsid w:val="00097894"/>
    <w:rsid w:val="000A34B6"/>
    <w:rsid w:val="000C092E"/>
    <w:rsid w:val="000C4E50"/>
    <w:rsid w:val="000E2AA1"/>
    <w:rsid w:val="0011448C"/>
    <w:rsid w:val="001269C4"/>
    <w:rsid w:val="00143725"/>
    <w:rsid w:val="00172C15"/>
    <w:rsid w:val="00183740"/>
    <w:rsid w:val="00184015"/>
    <w:rsid w:val="001A5B43"/>
    <w:rsid w:val="001C2654"/>
    <w:rsid w:val="001C4D43"/>
    <w:rsid w:val="001D4AC4"/>
    <w:rsid w:val="001E64AD"/>
    <w:rsid w:val="002354F9"/>
    <w:rsid w:val="00243499"/>
    <w:rsid w:val="0025568B"/>
    <w:rsid w:val="00265C67"/>
    <w:rsid w:val="00293C8A"/>
    <w:rsid w:val="0029431F"/>
    <w:rsid w:val="00295732"/>
    <w:rsid w:val="002A26E8"/>
    <w:rsid w:val="002A3E9E"/>
    <w:rsid w:val="002C1C8D"/>
    <w:rsid w:val="002D025D"/>
    <w:rsid w:val="0030605B"/>
    <w:rsid w:val="00326CD6"/>
    <w:rsid w:val="0034123C"/>
    <w:rsid w:val="00343C31"/>
    <w:rsid w:val="0037225F"/>
    <w:rsid w:val="00374762"/>
    <w:rsid w:val="003F7196"/>
    <w:rsid w:val="00422DBB"/>
    <w:rsid w:val="00443F43"/>
    <w:rsid w:val="00461B0D"/>
    <w:rsid w:val="004A6DC4"/>
    <w:rsid w:val="004F683B"/>
    <w:rsid w:val="00500067"/>
    <w:rsid w:val="00500803"/>
    <w:rsid w:val="00500CBD"/>
    <w:rsid w:val="00514D21"/>
    <w:rsid w:val="0058421D"/>
    <w:rsid w:val="00597B04"/>
    <w:rsid w:val="005B1C00"/>
    <w:rsid w:val="005C28A8"/>
    <w:rsid w:val="005D6095"/>
    <w:rsid w:val="005D618B"/>
    <w:rsid w:val="005F5F25"/>
    <w:rsid w:val="00601A76"/>
    <w:rsid w:val="00613729"/>
    <w:rsid w:val="00622C63"/>
    <w:rsid w:val="006510F6"/>
    <w:rsid w:val="0068665C"/>
    <w:rsid w:val="00691B35"/>
    <w:rsid w:val="006927A0"/>
    <w:rsid w:val="006A64DE"/>
    <w:rsid w:val="006B0947"/>
    <w:rsid w:val="00702EE6"/>
    <w:rsid w:val="007100F8"/>
    <w:rsid w:val="00717188"/>
    <w:rsid w:val="00730D8C"/>
    <w:rsid w:val="00737B12"/>
    <w:rsid w:val="00753D49"/>
    <w:rsid w:val="00791159"/>
    <w:rsid w:val="007C7E17"/>
    <w:rsid w:val="007D28CE"/>
    <w:rsid w:val="007E2F2F"/>
    <w:rsid w:val="007E683A"/>
    <w:rsid w:val="007F06E8"/>
    <w:rsid w:val="007F6409"/>
    <w:rsid w:val="008011AF"/>
    <w:rsid w:val="00810CDF"/>
    <w:rsid w:val="00826A68"/>
    <w:rsid w:val="008328CB"/>
    <w:rsid w:val="00837616"/>
    <w:rsid w:val="00847A5F"/>
    <w:rsid w:val="00854415"/>
    <w:rsid w:val="008B0345"/>
    <w:rsid w:val="008B0FCA"/>
    <w:rsid w:val="008B24A9"/>
    <w:rsid w:val="008C1E95"/>
    <w:rsid w:val="00916752"/>
    <w:rsid w:val="00931B43"/>
    <w:rsid w:val="00962948"/>
    <w:rsid w:val="00987914"/>
    <w:rsid w:val="00A41764"/>
    <w:rsid w:val="00A444F6"/>
    <w:rsid w:val="00A84C66"/>
    <w:rsid w:val="00AD3AFB"/>
    <w:rsid w:val="00AE371A"/>
    <w:rsid w:val="00B03EBD"/>
    <w:rsid w:val="00B274E5"/>
    <w:rsid w:val="00B34365"/>
    <w:rsid w:val="00B53AD1"/>
    <w:rsid w:val="00B97496"/>
    <w:rsid w:val="00BB19C4"/>
    <w:rsid w:val="00BE6BC5"/>
    <w:rsid w:val="00C21ECF"/>
    <w:rsid w:val="00C35D09"/>
    <w:rsid w:val="00C551EE"/>
    <w:rsid w:val="00C702D4"/>
    <w:rsid w:val="00C748AE"/>
    <w:rsid w:val="00C77A61"/>
    <w:rsid w:val="00CF3B40"/>
    <w:rsid w:val="00CF5E0A"/>
    <w:rsid w:val="00CF7164"/>
    <w:rsid w:val="00D01FE4"/>
    <w:rsid w:val="00D22B28"/>
    <w:rsid w:val="00D27EED"/>
    <w:rsid w:val="00D57863"/>
    <w:rsid w:val="00D6447C"/>
    <w:rsid w:val="00D92264"/>
    <w:rsid w:val="00DD2BC4"/>
    <w:rsid w:val="00DF1A22"/>
    <w:rsid w:val="00E43A8C"/>
    <w:rsid w:val="00E463C4"/>
    <w:rsid w:val="00E679A7"/>
    <w:rsid w:val="00E735D4"/>
    <w:rsid w:val="00EB15E5"/>
    <w:rsid w:val="00EB4AF0"/>
    <w:rsid w:val="00EB57D1"/>
    <w:rsid w:val="00EB59A9"/>
    <w:rsid w:val="00ED0F86"/>
    <w:rsid w:val="00ED3C9B"/>
    <w:rsid w:val="00EE0BA2"/>
    <w:rsid w:val="00EF0B38"/>
    <w:rsid w:val="00EF50D2"/>
    <w:rsid w:val="00F41A01"/>
    <w:rsid w:val="00F53F30"/>
    <w:rsid w:val="00FA334A"/>
    <w:rsid w:val="00FC1A25"/>
    <w:rsid w:val="00FC3BF9"/>
    <w:rsid w:val="00FD0892"/>
    <w:rsid w:val="00FF0177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734BA-E97C-4533-A408-0EECF66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91159"/>
    <w:rPr>
      <w:color w:val="0563C1" w:themeColor="hyperlink"/>
      <w:u w:val="single"/>
    </w:rPr>
  </w:style>
  <w:style w:type="paragraph" w:styleId="a5">
    <w:name w:val="Plain Text"/>
    <w:basedOn w:val="a0"/>
    <w:link w:val="a6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6">
    <w:name w:val="Текст Знак"/>
    <w:basedOn w:val="a1"/>
    <w:link w:val="a5"/>
    <w:rsid w:val="00791159"/>
    <w:rPr>
      <w:rFonts w:ascii="Verona" w:eastAsia="Verona" w:hAnsi="Verona" w:cs="Times New Roman"/>
      <w:sz w:val="20"/>
      <w:szCs w:val="20"/>
    </w:rPr>
  </w:style>
  <w:style w:type="paragraph" w:styleId="a7">
    <w:name w:val="Body Text Indent"/>
    <w:basedOn w:val="a0"/>
    <w:link w:val="a8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D28CE"/>
  </w:style>
  <w:style w:type="paragraph" w:customStyle="1" w:styleId="p7">
    <w:name w:val="p7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0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nhideWhenUsed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11448C"/>
  </w:style>
  <w:style w:type="character" w:styleId="ad">
    <w:name w:val="Strong"/>
    <w:basedOn w:val="a1"/>
    <w:uiPriority w:val="22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"/>
    <w:basedOn w:val="a0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0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0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0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53A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B53AD1"/>
  </w:style>
  <w:style w:type="paragraph" w:styleId="af">
    <w:name w:val="List Paragraph"/>
    <w:basedOn w:val="a0"/>
    <w:uiPriority w:val="34"/>
    <w:qFormat/>
    <w:rsid w:val="00B53AD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3">
    <w:name w:val="Body Text 2"/>
    <w:basedOn w:val="a0"/>
    <w:link w:val="24"/>
    <w:uiPriority w:val="99"/>
    <w:unhideWhenUsed/>
    <w:rsid w:val="00293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293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0"/>
    <w:link w:val="af1"/>
    <w:uiPriority w:val="99"/>
    <w:unhideWhenUsed/>
    <w:rsid w:val="00293C8A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293C8A"/>
  </w:style>
  <w:style w:type="character" w:customStyle="1" w:styleId="af2">
    <w:name w:val="Гипертекстовая ссылка"/>
    <w:rsid w:val="00B34365"/>
    <w:rPr>
      <w:b/>
      <w:bCs/>
      <w:color w:val="106BBE"/>
    </w:rPr>
  </w:style>
  <w:style w:type="character" w:customStyle="1" w:styleId="25">
    <w:name w:val="Основной текст (2)_"/>
    <w:basedOn w:val="a1"/>
    <w:link w:val="26"/>
    <w:rsid w:val="003060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30605B"/>
    <w:pPr>
      <w:widowControl w:val="0"/>
      <w:shd w:val="clear" w:color="auto" w:fill="FFFFFF"/>
      <w:spacing w:after="0" w:line="310" w:lineRule="exact"/>
      <w:ind w:hanging="7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4pt0">
    <w:name w:val="Стиль Основной текст 3 + 14 pt по ширине После:  0 пт"/>
    <w:basedOn w:val="31"/>
    <w:rsid w:val="00E43A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Number"/>
    <w:basedOn w:val="a0"/>
    <w:rsid w:val="00E43A8C"/>
    <w:pPr>
      <w:numPr>
        <w:numId w:val="1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lk">
    <w:name w:val="blk"/>
    <w:basedOn w:val="a1"/>
    <w:rsid w:val="00E43A8C"/>
  </w:style>
  <w:style w:type="paragraph" w:styleId="31">
    <w:name w:val="Body Text 3"/>
    <w:basedOn w:val="a0"/>
    <w:link w:val="32"/>
    <w:uiPriority w:val="99"/>
    <w:semiHidden/>
    <w:unhideWhenUsed/>
    <w:rsid w:val="00E43A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43A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/professional-educ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2873-2993-481C-82AD-1CF238FB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6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Адреева</dc:creator>
  <cp:keywords/>
  <dc:description/>
  <cp:lastModifiedBy>Жуков Андрей Александрович</cp:lastModifiedBy>
  <cp:revision>60</cp:revision>
  <cp:lastPrinted>2016-08-09T12:39:00Z</cp:lastPrinted>
  <dcterms:created xsi:type="dcterms:W3CDTF">2017-03-23T11:46:00Z</dcterms:created>
  <dcterms:modified xsi:type="dcterms:W3CDTF">2020-11-27T13:15:00Z</dcterms:modified>
</cp:coreProperties>
</file>